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b w:val="0"/>
          <w:bCs/>
          <w:sz w:val="40"/>
          <w:szCs w:val="24"/>
        </w:rPr>
      </w:pPr>
      <w:r>
        <w:rPr>
          <w:rFonts w:hint="eastAsia" w:ascii="黑体" w:hAnsi="黑体" w:eastAsia="黑体" w:cs="黑体"/>
          <w:b w:val="0"/>
          <w:bCs/>
          <w:sz w:val="40"/>
          <w:szCs w:val="24"/>
        </w:rPr>
        <w:t>景德镇市</w:t>
      </w:r>
      <w:r>
        <w:rPr>
          <w:rFonts w:hint="eastAsia" w:ascii="黑体" w:hAnsi="黑体" w:eastAsia="黑体" w:cs="黑体"/>
          <w:b w:val="0"/>
          <w:bCs/>
          <w:sz w:val="40"/>
          <w:szCs w:val="24"/>
          <w:lang w:val="en-US" w:eastAsia="zh-CN"/>
        </w:rPr>
        <w:t>外办2020</w:t>
      </w:r>
      <w:r>
        <w:rPr>
          <w:rFonts w:hint="eastAsia" w:ascii="黑体" w:hAnsi="黑体" w:eastAsia="黑体" w:cs="黑体"/>
          <w:b w:val="0"/>
          <w:bCs/>
          <w:sz w:val="40"/>
          <w:szCs w:val="24"/>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外办</w:t>
      </w:r>
      <w:r>
        <w:rPr>
          <w:rFonts w:hint="eastAsia" w:ascii="黑体" w:hAnsi="宋体" w:eastAsia="黑体" w:cs="黑体"/>
          <w:sz w:val="32"/>
          <w:szCs w:val="32"/>
        </w:rPr>
        <w:t>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color w:val="auto"/>
          <w:sz w:val="32"/>
          <w:szCs w:val="32"/>
        </w:rPr>
        <w:t>景德镇市</w:t>
      </w:r>
      <w:r>
        <w:rPr>
          <w:rFonts w:hint="eastAsia" w:ascii="黑体" w:hAnsi="宋体" w:eastAsia="黑体" w:cs="黑体"/>
          <w:color w:val="auto"/>
          <w:sz w:val="32"/>
          <w:szCs w:val="32"/>
          <w:lang w:eastAsia="zh-CN"/>
        </w:rPr>
        <w:t>外办</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color w:val="auto"/>
          <w:sz w:val="32"/>
          <w:szCs w:val="32"/>
        </w:rPr>
        <w:t>景德镇市</w:t>
      </w:r>
      <w:r>
        <w:rPr>
          <w:rFonts w:hint="eastAsia" w:ascii="黑体" w:hAnsi="宋体" w:eastAsia="黑体" w:cs="黑体"/>
          <w:color w:val="auto"/>
          <w:sz w:val="32"/>
          <w:szCs w:val="32"/>
          <w:lang w:eastAsia="zh-CN"/>
        </w:rPr>
        <w:t>外办</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hint="eastAsia" w:ascii="黑体" w:hAnsi="宋体" w:eastAsia="黑体" w:cs="黑体"/>
          <w:sz w:val="32"/>
          <w:szCs w:val="32"/>
        </w:rPr>
      </w:pPr>
      <w:r>
        <w:rPr>
          <w:rFonts w:hint="eastAsia" w:ascii="黑体" w:hAnsi="宋体" w:eastAsia="黑体" w:cs="黑体"/>
          <w:sz w:val="32"/>
          <w:szCs w:val="32"/>
        </w:rPr>
        <w:br w:type="page"/>
      </w:r>
    </w:p>
    <w:p>
      <w:pPr>
        <w:jc w:val="center"/>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color w:val="auto"/>
          <w:sz w:val="32"/>
          <w:szCs w:val="32"/>
        </w:rPr>
        <w:t>景德镇市</w:t>
      </w:r>
      <w:r>
        <w:rPr>
          <w:rFonts w:hint="eastAsia" w:ascii="黑体" w:hAnsi="宋体" w:eastAsia="黑体" w:cs="黑体"/>
          <w:color w:val="auto"/>
          <w:sz w:val="32"/>
          <w:szCs w:val="32"/>
          <w:lang w:eastAsia="zh-CN"/>
        </w:rPr>
        <w:t>外办</w:t>
      </w:r>
      <w:r>
        <w:rPr>
          <w:rFonts w:hint="eastAsia" w:ascii="黑体" w:hAnsi="宋体" w:eastAsia="黑体" w:cs="黑体"/>
          <w:sz w:val="32"/>
          <w:szCs w:val="32"/>
        </w:rPr>
        <w:t>概况</w:t>
      </w:r>
    </w:p>
    <w:p>
      <w:pPr>
        <w:ind w:firstLine="627" w:firstLineChars="196"/>
        <w:rPr>
          <w:rFonts w:hint="eastAsia" w:ascii="黑体" w:hAnsi="黑体" w:eastAsia="黑体" w:cs="黑体"/>
          <w:b w:val="0"/>
          <w:bCs w:val="0"/>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eastAsia="zh-CN"/>
        </w:rPr>
        <w:t>市政府外事办公室为市政府工作部门，主要职责是：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eastAsia="zh-CN"/>
        </w:rPr>
        <w:t>（一）坚持和加强党对全市对外工作的集中统一领导，贯彻执行党和国家对外方针政策和港澳工作政策法规以及市委、市政府关于外事、港澳工作的决策部署；围绕全市经济社会发展和外事、港澳工作开展调查研究，为市委和市政府的对外工作决策提供意见和建议；起草全市外事、港澳工作政策、规定，研究制定全市外事工作和港澳工作发展规划；负责协调处理全市重大外事工作和涉港涉澳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eastAsia="zh-CN"/>
        </w:rPr>
        <w:t>（二）牵头做好重要外宾访景的有关工作；归口协调市级领导的涉外活动；办理市级领导对外交往事宜；指导有关单位做好外事礼宾工作；负责全市对外参观点的开辟、调整和建设工作。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eastAsia="zh-CN"/>
        </w:rPr>
        <w:t>（三）归口管理全市因公出国（境）和邀请外国人来赣访问工作。审核审批并管理因公护照和因公赴港澳通行证；负责办理因公出国人员签证和来访外国人的邀请、签证函电等业务；指导对外事干部和出国（境）人员及其团组的外事政策纪律教育和业务培训。</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eastAsia="zh-CN"/>
        </w:rPr>
        <w:t>（四）归口管理全市与外国驻华使领馆和我国驻外国使领馆的工作联络与交往；协调处理外国人在景以及我市公民在海外的领事事务；代办领事认证。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eastAsia="zh-CN"/>
        </w:rPr>
        <w:t>（五）归口管理全市涉港涉澳事务。负责统筹我市与港澳各领域的交流合作；协调处理港澳同胞的来信来访工作，依法保护港澳同胞在景的合法权益；负责港澳同胞捐赠的接收工作，并参与对捐赠财产使用与管理的监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eastAsia="zh-CN"/>
        </w:rPr>
        <w:t>（六）负责全市国际友好城市缔结与交流；协调全市与外国友好城市的交往活动；指导民间对外交往工作；负责我市社会组织参与国际非政府组织活动的协调管理工作。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eastAsia="zh-CN"/>
        </w:rPr>
        <w:t>（七）贯彻落实总体国家安全观，牵头或会同有关部门处置全市重大涉外和涉港涉澳突发事件。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eastAsia="zh-CN"/>
        </w:rPr>
        <w:t>（八）配合纪委监委部门、国家安全及保密部门监督检查外事纪律及涉外保密制度的执行情况。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仿宋_GB2312"/>
          <w:color w:val="auto"/>
          <w:sz w:val="32"/>
          <w:szCs w:val="32"/>
          <w:lang w:val="zh-CN" w:eastAsia="zh-CN"/>
        </w:rPr>
      </w:pPr>
      <w:r>
        <w:rPr>
          <w:rFonts w:hint="eastAsia" w:ascii="仿宋_GB2312" w:hAnsi="宋体" w:eastAsia="仿宋_GB2312" w:cs="仿宋_GB2312"/>
          <w:color w:val="auto"/>
          <w:sz w:val="32"/>
          <w:szCs w:val="32"/>
          <w:lang w:val="zh-CN" w:eastAsia="zh-CN"/>
        </w:rPr>
        <w:t xml:space="preserve">（九）完成市委、市政府交办的其他任务。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eastAsia="zh-CN"/>
        </w:rPr>
        <w:t>本部门</w:t>
      </w:r>
      <w:r>
        <w:rPr>
          <w:rFonts w:hint="eastAsia" w:ascii="仿宋_GB2312" w:hAnsi="宋体" w:eastAsia="仿宋_GB2312" w:cs="仿宋_GB2312"/>
          <w:color w:val="auto"/>
          <w:sz w:val="32"/>
          <w:szCs w:val="32"/>
        </w:rPr>
        <w:t>共有预算单位</w:t>
      </w: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个，包括</w:t>
      </w:r>
      <w:r>
        <w:rPr>
          <w:rFonts w:hint="eastAsia" w:ascii="仿宋_GB2312" w:hAnsi="宋体" w:eastAsia="仿宋_GB2312" w:cs="仿宋_GB2312"/>
          <w:color w:val="auto"/>
          <w:sz w:val="32"/>
          <w:szCs w:val="32"/>
          <w:lang w:eastAsia="zh-CN"/>
        </w:rPr>
        <w:t>办</w:t>
      </w:r>
      <w:r>
        <w:rPr>
          <w:rFonts w:hint="eastAsia" w:ascii="仿宋_GB2312" w:hAnsi="宋体" w:eastAsia="仿宋_GB2312" w:cs="仿宋_GB2312"/>
          <w:color w:val="auto"/>
          <w:sz w:val="32"/>
          <w:szCs w:val="32"/>
        </w:rPr>
        <w:t>本级和所属</w:t>
      </w:r>
      <w:r>
        <w:rPr>
          <w:rFonts w:hint="eastAsia" w:ascii="仿宋_GB2312" w:hAnsi="宋体" w:eastAsia="仿宋_GB2312" w:cs="仿宋_GB2312"/>
          <w:color w:val="auto"/>
          <w:sz w:val="32"/>
          <w:szCs w:val="32"/>
          <w:lang w:val="en-US" w:eastAsia="zh-CN"/>
        </w:rPr>
        <w:t>1个</w:t>
      </w:r>
      <w:r>
        <w:rPr>
          <w:rFonts w:hint="eastAsia" w:ascii="仿宋_GB2312" w:hAnsi="宋体" w:eastAsia="仿宋_GB2312" w:cs="仿宋_GB2312"/>
          <w:color w:val="auto"/>
          <w:sz w:val="32"/>
          <w:szCs w:val="32"/>
        </w:rPr>
        <w:t>二级预算单位。编制数为</w:t>
      </w:r>
      <w:r>
        <w:rPr>
          <w:rFonts w:hint="eastAsia" w:ascii="仿宋_GB2312" w:hAnsi="宋体" w:eastAsia="仿宋_GB2312" w:cs="仿宋_GB2312"/>
          <w:color w:val="auto"/>
          <w:sz w:val="32"/>
          <w:szCs w:val="32"/>
          <w:lang w:val="en-US" w:eastAsia="zh-CN"/>
        </w:rPr>
        <w:t>19</w:t>
      </w:r>
      <w:r>
        <w:rPr>
          <w:rFonts w:hint="eastAsia" w:ascii="仿宋_GB2312" w:hAnsi="宋体" w:eastAsia="仿宋_GB2312" w:cs="仿宋_GB2312"/>
          <w:color w:val="auto"/>
          <w:sz w:val="32"/>
          <w:szCs w:val="32"/>
        </w:rPr>
        <w:t>人，其中行政编制</w:t>
      </w:r>
      <w:r>
        <w:rPr>
          <w:rFonts w:hint="eastAsia" w:ascii="仿宋_GB2312" w:hAnsi="宋体" w:eastAsia="仿宋_GB2312" w:cs="仿宋_GB2312"/>
          <w:color w:val="auto"/>
          <w:sz w:val="32"/>
          <w:szCs w:val="32"/>
          <w:lang w:val="en-US" w:eastAsia="zh-CN"/>
        </w:rPr>
        <w:t>9</w:t>
      </w:r>
      <w:r>
        <w:rPr>
          <w:rFonts w:hint="eastAsia" w:ascii="仿宋_GB2312" w:hAnsi="宋体" w:eastAsia="仿宋_GB2312" w:cs="仿宋_GB2312"/>
          <w:color w:val="auto"/>
          <w:sz w:val="32"/>
          <w:szCs w:val="32"/>
        </w:rPr>
        <w:t>人、全额补助事业编制</w:t>
      </w: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人；实有人数</w:t>
      </w:r>
      <w:r>
        <w:rPr>
          <w:rFonts w:hint="eastAsia" w:ascii="仿宋_GB2312" w:hAnsi="宋体" w:eastAsia="仿宋_GB2312" w:cs="仿宋_GB2312"/>
          <w:color w:val="auto"/>
          <w:sz w:val="32"/>
          <w:szCs w:val="32"/>
          <w:lang w:val="en-US" w:eastAsia="zh-CN"/>
        </w:rPr>
        <w:t>26</w:t>
      </w:r>
      <w:r>
        <w:rPr>
          <w:rFonts w:hint="eastAsia" w:ascii="仿宋_GB2312" w:hAnsi="宋体" w:eastAsia="仿宋_GB2312" w:cs="仿宋_GB2312"/>
          <w:color w:val="auto"/>
          <w:sz w:val="32"/>
          <w:szCs w:val="32"/>
        </w:rPr>
        <w:t>人，其中在职人数为</w:t>
      </w:r>
      <w:r>
        <w:rPr>
          <w:rFonts w:hint="eastAsia" w:ascii="仿宋_GB2312" w:hAnsi="宋体" w:eastAsia="仿宋_GB2312" w:cs="仿宋_GB2312"/>
          <w:color w:val="auto"/>
          <w:sz w:val="32"/>
          <w:szCs w:val="32"/>
          <w:lang w:val="en-US" w:eastAsia="zh-CN"/>
        </w:rPr>
        <w:t>19</w:t>
      </w:r>
      <w:r>
        <w:rPr>
          <w:rFonts w:hint="eastAsia" w:ascii="仿宋_GB2312" w:hAnsi="宋体" w:eastAsia="仿宋_GB2312" w:cs="仿宋_GB2312"/>
          <w:color w:val="auto"/>
          <w:sz w:val="32"/>
          <w:szCs w:val="32"/>
        </w:rPr>
        <w:t>人，包括行政人员</w:t>
      </w:r>
      <w:r>
        <w:rPr>
          <w:rFonts w:hint="eastAsia" w:ascii="仿宋_GB2312" w:hAnsi="宋体" w:eastAsia="仿宋_GB2312" w:cs="仿宋_GB2312"/>
          <w:color w:val="auto"/>
          <w:sz w:val="32"/>
          <w:szCs w:val="32"/>
          <w:lang w:val="en-US" w:eastAsia="zh-CN"/>
        </w:rPr>
        <w:t>9</w:t>
      </w:r>
      <w:r>
        <w:rPr>
          <w:rFonts w:hint="eastAsia" w:ascii="仿宋_GB2312" w:hAnsi="宋体" w:eastAsia="仿宋_GB2312" w:cs="仿宋_GB2312"/>
          <w:color w:val="auto"/>
          <w:sz w:val="32"/>
          <w:szCs w:val="32"/>
        </w:rPr>
        <w:t>人、全额补助</w:t>
      </w: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人；退休人员</w:t>
      </w:r>
      <w:r>
        <w:rPr>
          <w:rFonts w:hint="eastAsia" w:ascii="仿宋_GB2312" w:hAnsi="宋体" w:eastAsia="仿宋_GB2312" w:cs="仿宋_GB2312"/>
          <w:color w:val="auto"/>
          <w:sz w:val="32"/>
          <w:szCs w:val="32"/>
          <w:lang w:val="en-US" w:eastAsia="zh-CN"/>
        </w:rPr>
        <w:t>7</w:t>
      </w:r>
      <w:r>
        <w:rPr>
          <w:rFonts w:hint="eastAsia" w:ascii="仿宋_GB2312" w:hAnsi="宋体" w:eastAsia="仿宋_GB2312" w:cs="仿宋_GB2312"/>
          <w:color w:val="auto"/>
          <w:sz w:val="32"/>
          <w:szCs w:val="32"/>
        </w:rPr>
        <w:t>人。</w:t>
      </w:r>
    </w:p>
    <w:p>
      <w:pPr>
        <w:jc w:val="center"/>
        <w:rPr>
          <w:rFonts w:hint="eastAsia" w:ascii="黑体" w:hAnsi="宋体" w:eastAsia="黑体" w:cs="黑体"/>
          <w:sz w:val="32"/>
          <w:szCs w:val="32"/>
        </w:rPr>
      </w:pPr>
    </w:p>
    <w:p>
      <w:pPr>
        <w:jc w:val="center"/>
        <w:rPr>
          <w:rFonts w:ascii="黑体" w:hAnsi="宋体" w:eastAsia="黑体" w:cs="Times New Roman"/>
          <w:sz w:val="32"/>
          <w:szCs w:val="32"/>
        </w:rPr>
      </w:pPr>
      <w:r>
        <w:rPr>
          <w:rFonts w:hint="eastAsia" w:ascii="黑体" w:hAnsi="宋体" w:eastAsia="黑体" w:cs="黑体"/>
          <w:sz w:val="32"/>
          <w:szCs w:val="32"/>
        </w:rPr>
        <w:t>第二部分</w:t>
      </w:r>
      <w:r>
        <w:rPr>
          <w:rFonts w:hint="eastAsia" w:ascii="黑体" w:hAnsi="宋体" w:eastAsia="黑体" w:cs="黑体"/>
          <w:sz w:val="32"/>
          <w:szCs w:val="32"/>
          <w:lang w:val="en-US" w:eastAsia="zh-CN"/>
        </w:rPr>
        <w:t xml:space="preserve"> 景德镇市外办2020年</w:t>
      </w:r>
      <w:r>
        <w:rPr>
          <w:rFonts w:hint="eastAsia" w:ascii="黑体" w:hAnsi="宋体" w:eastAsia="黑体" w:cs="黑体"/>
          <w:sz w:val="32"/>
          <w:szCs w:val="32"/>
        </w:rPr>
        <w:t>部门预算情况说明</w:t>
      </w:r>
    </w:p>
    <w:p>
      <w:pPr>
        <w:ind w:firstLine="643" w:firstLineChars="200"/>
        <w:rPr>
          <w:rFonts w:hint="eastAsia" w:ascii="仿宋_GB2312" w:hAnsi="宋体" w:eastAsia="仿宋_GB2312" w:cs="仿宋_GB2312"/>
          <w:b/>
          <w:bCs/>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en-US" w:eastAsia="zh-CN"/>
        </w:rPr>
        <w:t>2020</w:t>
      </w:r>
      <w:r>
        <w:rPr>
          <w:rFonts w:hint="eastAsia" w:ascii="黑体" w:hAnsi="黑体" w:eastAsia="黑体" w:cs="黑体"/>
          <w:b w:val="0"/>
          <w:bCs w:val="0"/>
          <w:sz w:val="32"/>
          <w:szCs w:val="32"/>
        </w:rPr>
        <w:t>年部门预算收支情况说明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（一）预算收入情况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市外办</w:t>
      </w:r>
      <w:r>
        <w:rPr>
          <w:rFonts w:hint="eastAsia" w:ascii="仿宋_GB2312" w:hAnsi="宋体" w:eastAsia="仿宋_GB2312" w:cs="仿宋_GB2312"/>
          <w:sz w:val="32"/>
          <w:szCs w:val="32"/>
        </w:rPr>
        <w:t>收入预算总额为</w:t>
      </w:r>
      <w:r>
        <w:rPr>
          <w:rFonts w:hint="eastAsia" w:ascii="仿宋_GB2312" w:hAnsi="宋体" w:eastAsia="仿宋_GB2312" w:cs="仿宋_GB2312"/>
          <w:sz w:val="32"/>
          <w:szCs w:val="32"/>
          <w:lang w:val="en-US" w:eastAsia="zh-CN"/>
        </w:rPr>
        <w:t>372.08</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val="en-US" w:eastAsia="zh-CN"/>
        </w:rPr>
        <w:t>减少12.14万元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主要是上年结转费用减少</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280.08</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75.27</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92</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24.73</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（二）预算支出情况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市外办</w:t>
      </w:r>
      <w:r>
        <w:rPr>
          <w:rFonts w:hint="eastAsia" w:ascii="仿宋_GB2312" w:hAnsi="宋体" w:eastAsia="仿宋_GB2312" w:cs="仿宋_GB2312"/>
          <w:sz w:val="32"/>
          <w:szCs w:val="32"/>
        </w:rPr>
        <w:t>支出预算总额为</w:t>
      </w:r>
      <w:r>
        <w:rPr>
          <w:rFonts w:hint="eastAsia" w:ascii="仿宋_GB2312" w:hAnsi="宋体" w:eastAsia="仿宋_GB2312" w:cs="仿宋_GB2312"/>
          <w:sz w:val="32"/>
          <w:szCs w:val="32"/>
          <w:lang w:val="en-US" w:eastAsia="zh-CN"/>
        </w:rPr>
        <w:t>372.08</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val="en-US" w:eastAsia="zh-CN"/>
        </w:rPr>
        <w:t>减少12.14万元</w:t>
      </w:r>
      <w:r>
        <w:rPr>
          <w:rFonts w:hint="eastAsia" w:ascii="仿宋_GB2312" w:hAnsi="宋体" w:eastAsia="仿宋_GB2312" w:cs="仿宋_GB2312"/>
          <w:sz w:val="32"/>
          <w:szCs w:val="32"/>
        </w:rPr>
        <w:t>。其中：按支出项目类别划分：基本支出</w:t>
      </w:r>
      <w:r>
        <w:rPr>
          <w:rFonts w:hint="eastAsia" w:ascii="仿宋_GB2312" w:hAnsi="宋体" w:eastAsia="仿宋_GB2312" w:cs="仿宋_GB2312"/>
          <w:sz w:val="32"/>
          <w:szCs w:val="32"/>
          <w:lang w:val="en-US" w:eastAsia="zh-CN"/>
        </w:rPr>
        <w:t>344.08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92.47</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229.03</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114.45</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0.6</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28</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7.53</w:t>
      </w:r>
      <w:r>
        <w:rPr>
          <w:rFonts w:ascii="仿宋_GB2312" w:hAnsi="宋体" w:eastAsia="仿宋_GB2312" w:cs="仿宋_GB2312"/>
          <w:sz w:val="32"/>
          <w:szCs w:val="32"/>
        </w:rPr>
        <w:t>%</w:t>
      </w:r>
      <w:r>
        <w:rPr>
          <w:rFonts w:hint="eastAsia" w:ascii="仿宋_GB2312" w:hAnsi="宋体" w:eastAsia="仿宋_GB2312" w:cs="仿宋_GB2312"/>
          <w:sz w:val="32"/>
          <w:szCs w:val="32"/>
        </w:rPr>
        <w:t>，包括商品和服务支出</w:t>
      </w:r>
      <w:r>
        <w:rPr>
          <w:rFonts w:hint="eastAsia" w:ascii="仿宋_GB2312" w:hAnsi="宋体" w:eastAsia="仿宋_GB2312" w:cs="仿宋_GB2312"/>
          <w:sz w:val="32"/>
          <w:szCs w:val="32"/>
          <w:lang w:val="en-US" w:eastAsia="zh-CN"/>
        </w:rPr>
        <w:t>28</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按支出功能科目划分：一般公共服务支出</w:t>
      </w:r>
      <w:r>
        <w:rPr>
          <w:rFonts w:hint="eastAsia" w:ascii="仿宋_GB2312" w:hAnsi="宋体" w:eastAsia="仿宋_GB2312" w:cs="仿宋_GB2312"/>
          <w:sz w:val="32"/>
          <w:szCs w:val="32"/>
          <w:lang w:val="en-US" w:eastAsia="zh-CN"/>
        </w:rPr>
        <w:t>320.9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86.25</w:t>
      </w:r>
      <w:r>
        <w:rPr>
          <w:rFonts w:ascii="仿宋_GB2312" w:hAnsi="宋体" w:eastAsia="仿宋_GB2312" w:cs="仿宋_GB2312"/>
          <w:sz w:val="32"/>
          <w:szCs w:val="32"/>
        </w:rPr>
        <w:t>%</w:t>
      </w:r>
      <w:r>
        <w:rPr>
          <w:rFonts w:hint="eastAsia" w:ascii="仿宋_GB2312" w:hAnsi="宋体" w:eastAsia="仿宋_GB2312" w:cs="仿宋_GB2312"/>
          <w:sz w:val="32"/>
          <w:szCs w:val="32"/>
        </w:rPr>
        <w:t>；社会保障和就业支出</w:t>
      </w:r>
      <w:r>
        <w:rPr>
          <w:rFonts w:hint="eastAsia" w:ascii="仿宋_GB2312" w:hAnsi="宋体" w:eastAsia="仿宋_GB2312" w:cs="仿宋_GB2312"/>
          <w:sz w:val="32"/>
          <w:szCs w:val="32"/>
          <w:lang w:val="en-US" w:eastAsia="zh-CN"/>
        </w:rPr>
        <w:t>20.32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5.46</w:t>
      </w:r>
      <w:r>
        <w:rPr>
          <w:rFonts w:ascii="仿宋_GB2312" w:hAnsi="宋体" w:eastAsia="仿宋_GB2312" w:cs="仿宋_GB2312"/>
          <w:sz w:val="32"/>
          <w:szCs w:val="32"/>
        </w:rPr>
        <w:t>%</w:t>
      </w:r>
      <w:r>
        <w:rPr>
          <w:rFonts w:hint="eastAsia" w:ascii="仿宋_GB2312" w:hAnsi="宋体" w:eastAsia="仿宋_GB2312" w:cs="仿宋_GB2312"/>
          <w:sz w:val="32"/>
          <w:szCs w:val="32"/>
        </w:rPr>
        <w:t>；医疗卫生支出</w:t>
      </w:r>
      <w:r>
        <w:rPr>
          <w:rFonts w:hint="eastAsia" w:ascii="仿宋_GB2312" w:hAnsi="宋体" w:eastAsia="仿宋_GB2312" w:cs="仿宋_GB2312"/>
          <w:sz w:val="32"/>
          <w:szCs w:val="32"/>
          <w:lang w:val="en-US" w:eastAsia="zh-CN"/>
        </w:rPr>
        <w:t>16.24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4.36</w:t>
      </w:r>
      <w:r>
        <w:rPr>
          <w:rFonts w:ascii="仿宋_GB2312" w:hAnsi="宋体" w:eastAsia="仿宋_GB2312" w:cs="仿宋_GB2312"/>
          <w:sz w:val="32"/>
          <w:szCs w:val="32"/>
        </w:rPr>
        <w:t>%</w:t>
      </w:r>
      <w:r>
        <w:rPr>
          <w:rFonts w:hint="eastAsia" w:ascii="仿宋_GB2312" w:hAnsi="宋体" w:eastAsia="仿宋_GB2312" w:cs="仿宋_GB2312"/>
          <w:sz w:val="32"/>
          <w:szCs w:val="32"/>
        </w:rPr>
        <w:t>；住房保障支出</w:t>
      </w:r>
      <w:r>
        <w:rPr>
          <w:rFonts w:hint="eastAsia" w:ascii="仿宋_GB2312" w:hAnsi="宋体" w:eastAsia="仿宋_GB2312" w:cs="仿宋_GB2312"/>
          <w:sz w:val="32"/>
          <w:szCs w:val="32"/>
          <w:lang w:val="en-US" w:eastAsia="zh-CN"/>
        </w:rPr>
        <w:t>14.62</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3.93</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按支出经济类别划分：工资福利支出</w:t>
      </w:r>
      <w:r>
        <w:rPr>
          <w:rFonts w:hint="eastAsia" w:ascii="仿宋_GB2312" w:hAnsi="宋体" w:eastAsia="仿宋_GB2312" w:cs="仿宋_GB2312"/>
          <w:sz w:val="32"/>
          <w:szCs w:val="32"/>
          <w:lang w:val="en-US" w:eastAsia="zh-CN"/>
        </w:rPr>
        <w:t>229.03</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61.56</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142.45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38.28</w:t>
      </w:r>
      <w:r>
        <w:rPr>
          <w:rFonts w:ascii="仿宋_GB2312" w:hAnsi="宋体" w:eastAsia="仿宋_GB2312" w:cs="仿宋_GB2312"/>
          <w:sz w:val="32"/>
          <w:szCs w:val="32"/>
        </w:rPr>
        <w:t>%</w:t>
      </w:r>
      <w:r>
        <w:rPr>
          <w:rFonts w:hint="eastAsia" w:ascii="仿宋_GB2312" w:hAnsi="宋体" w:eastAsia="仿宋_GB2312" w:cs="仿宋_GB2312"/>
          <w:sz w:val="32"/>
          <w:szCs w:val="32"/>
        </w:rPr>
        <w:t>；对个人和家庭的补助支出</w:t>
      </w:r>
      <w:r>
        <w:rPr>
          <w:rFonts w:hint="eastAsia" w:ascii="仿宋_GB2312" w:hAnsi="宋体" w:eastAsia="仿宋_GB2312" w:cs="仿宋_GB2312"/>
          <w:sz w:val="32"/>
          <w:szCs w:val="32"/>
          <w:lang w:val="en-US" w:eastAsia="zh-CN"/>
        </w:rPr>
        <w:t>0.6</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0.16</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（三）财政拨款支出情况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市外办</w:t>
      </w:r>
      <w:r>
        <w:rPr>
          <w:rFonts w:hint="eastAsia" w:ascii="仿宋_GB2312" w:hAnsi="宋体" w:eastAsia="仿宋_GB2312" w:cs="仿宋_GB2312"/>
          <w:sz w:val="32"/>
          <w:szCs w:val="32"/>
          <w:lang w:eastAsia="zh-CN"/>
        </w:rPr>
        <w:t>财政拨款</w:t>
      </w:r>
      <w:r>
        <w:rPr>
          <w:rFonts w:hint="eastAsia" w:ascii="仿宋_GB2312" w:hAnsi="宋体" w:eastAsia="仿宋_GB2312" w:cs="仿宋_GB2312"/>
          <w:sz w:val="32"/>
          <w:szCs w:val="32"/>
        </w:rPr>
        <w:t>支出预算</w:t>
      </w:r>
      <w:r>
        <w:rPr>
          <w:rFonts w:hint="eastAsia" w:ascii="仿宋_GB2312" w:hAnsi="宋体" w:eastAsia="仿宋_GB2312" w:cs="仿宋_GB2312"/>
          <w:sz w:val="32"/>
          <w:szCs w:val="32"/>
          <w:lang w:val="en-US" w:eastAsia="zh-CN"/>
        </w:rPr>
        <w:t>280.08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75.27</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w:t>
      </w:r>
      <w:r>
        <w:rPr>
          <w:rFonts w:hint="eastAsia" w:ascii="仿宋_GB2312" w:hAnsi="宋体" w:eastAsia="仿宋_GB2312" w:cs="仿宋_GB2312"/>
          <w:sz w:val="32"/>
          <w:szCs w:val="32"/>
          <w:lang w:val="en-US" w:eastAsia="zh-CN"/>
        </w:rPr>
        <w:t>加37.10万元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主要是较上年预算相比新增3人</w:t>
      </w:r>
      <w:r>
        <w:rPr>
          <w:rFonts w:hint="eastAsia" w:ascii="仿宋_GB2312" w:hAnsi="宋体" w:eastAsia="仿宋_GB2312" w:cs="仿宋_GB2312"/>
          <w:sz w:val="32"/>
          <w:szCs w:val="32"/>
        </w:rPr>
        <w:t>。具体支出情况是：一般公共服务支出228.90万元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占公共财政拨款支出预算的81.73%</w:t>
      </w:r>
      <w:r>
        <w:rPr>
          <w:rFonts w:hint="eastAsia" w:ascii="仿宋_GB2312" w:hAnsi="宋体" w:eastAsia="仿宋_GB2312" w:cs="仿宋_GB2312"/>
          <w:sz w:val="32"/>
          <w:szCs w:val="32"/>
          <w:lang w:val="en-US" w:eastAsia="zh-CN"/>
        </w:rPr>
        <w:t>;</w:t>
      </w:r>
      <w:r>
        <w:rPr>
          <w:rFonts w:hint="eastAsia" w:ascii="仿宋_GB2312" w:hAnsi="宋体" w:eastAsia="仿宋_GB2312" w:cs="仿宋_GB2312"/>
          <w:sz w:val="32"/>
          <w:szCs w:val="32"/>
        </w:rPr>
        <w:t>社会保障和就业支出20.32万元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占公共财政拨款支出预算的7.26%</w:t>
      </w:r>
      <w:r>
        <w:rPr>
          <w:rFonts w:hint="eastAsia" w:ascii="仿宋_GB2312" w:hAnsi="宋体" w:eastAsia="仿宋_GB2312" w:cs="仿宋_GB2312"/>
          <w:sz w:val="32"/>
          <w:szCs w:val="32"/>
          <w:lang w:val="en-US" w:eastAsia="zh-CN"/>
        </w:rPr>
        <w:t>;</w:t>
      </w:r>
      <w:r>
        <w:rPr>
          <w:rFonts w:hint="eastAsia" w:ascii="仿宋_GB2312" w:hAnsi="宋体" w:eastAsia="仿宋_GB2312" w:cs="仿宋_GB2312"/>
          <w:sz w:val="32"/>
          <w:szCs w:val="32"/>
        </w:rPr>
        <w:t>卫生健康支出16.24万元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占公共财政拨款支出预算的5.80%</w:t>
      </w:r>
      <w:r>
        <w:rPr>
          <w:rFonts w:hint="eastAsia" w:ascii="仿宋_GB2312" w:hAnsi="宋体" w:eastAsia="仿宋_GB2312" w:cs="仿宋_GB2312"/>
          <w:sz w:val="32"/>
          <w:szCs w:val="32"/>
          <w:lang w:val="en-US" w:eastAsia="zh-CN"/>
        </w:rPr>
        <w:t>;</w:t>
      </w:r>
      <w:r>
        <w:rPr>
          <w:rFonts w:hint="eastAsia" w:ascii="仿宋_GB2312" w:hAnsi="宋体" w:eastAsia="仿宋_GB2312" w:cs="仿宋_GB2312"/>
          <w:sz w:val="32"/>
          <w:szCs w:val="32"/>
        </w:rPr>
        <w:t>住房保障支出14.62万元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占公共财政拨款支出预算的5.22%</w:t>
      </w:r>
      <w:r>
        <w:rPr>
          <w:rFonts w:hint="eastAsia" w:ascii="仿宋_GB2312" w:hAnsi="宋体"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val="en-US" w:eastAsia="zh-CN"/>
        </w:rPr>
        <w:t>(四）</w:t>
      </w:r>
      <w:r>
        <w:rPr>
          <w:rFonts w:hint="eastAsia" w:ascii="楷体_GB2312" w:hAnsi="楷体_GB2312" w:eastAsia="楷体_GB2312" w:cs="楷体_GB2312"/>
          <w:b w:val="0"/>
          <w:bCs w:val="0"/>
          <w:sz w:val="32"/>
          <w:szCs w:val="32"/>
        </w:rPr>
        <w:t>政府采购预算情况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2020年政府采购预算为</w:t>
      </w:r>
      <w:r>
        <w:rPr>
          <w:rFonts w:hint="eastAsia" w:ascii="仿宋_GB2312" w:hAnsi="宋体" w:eastAsia="仿宋_GB2312" w:cs="仿宋_GB2312"/>
          <w:sz w:val="32"/>
          <w:szCs w:val="32"/>
          <w:lang w:val="en-US" w:eastAsia="zh-CN"/>
        </w:rPr>
        <w:t>17.19</w:t>
      </w:r>
      <w:r>
        <w:rPr>
          <w:rFonts w:hint="eastAsia" w:ascii="仿宋_GB2312" w:hAnsi="宋体" w:eastAsia="仿宋_GB2312" w:cs="仿宋_GB2312"/>
          <w:sz w:val="32"/>
          <w:szCs w:val="32"/>
          <w:lang w:eastAsia="zh-CN"/>
        </w:rPr>
        <w:t>万元，其中:部门集中采购</w:t>
      </w:r>
      <w:r>
        <w:rPr>
          <w:rFonts w:hint="eastAsia" w:ascii="仿宋_GB2312" w:hAnsi="宋体" w:eastAsia="仿宋_GB2312" w:cs="仿宋_GB2312"/>
          <w:sz w:val="32"/>
          <w:szCs w:val="32"/>
          <w:lang w:val="en-US" w:eastAsia="zh-CN"/>
        </w:rPr>
        <w:t>17.19</w:t>
      </w:r>
      <w:r>
        <w:rPr>
          <w:rFonts w:hint="eastAsia" w:ascii="仿宋_GB2312" w:hAnsi="宋体" w:eastAsia="仿宋_GB2312" w:cs="仿宋_GB2312"/>
          <w:sz w:val="32"/>
          <w:szCs w:val="32"/>
          <w:lang w:eastAsia="zh-CN"/>
        </w:rPr>
        <w:t>万元。</w:t>
      </w:r>
      <w:r>
        <w:rPr>
          <w:rFonts w:hint="eastAsia" w:ascii="仿宋_GB2312" w:hAnsi="宋体" w:eastAsia="仿宋_GB2312" w:cs="仿宋_GB2312"/>
          <w:sz w:val="32"/>
          <w:szCs w:val="32"/>
          <w:lang w:val="en-US" w:eastAsia="zh-CN"/>
        </w:rPr>
        <w:t>与上年预算相比减少4.61万元。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（五）政府基金收支情况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无政府基金收支预算。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（六）2020年“三公”经费预算情况说明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s="Times New Roman"/>
          <w:b/>
          <w:bCs/>
          <w:sz w:val="32"/>
          <w:szCs w:val="32"/>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年市</w:t>
      </w:r>
      <w:r>
        <w:rPr>
          <w:rFonts w:hint="eastAsia" w:ascii="仿宋_GB2312" w:hAnsi="宋体" w:eastAsia="仿宋_GB2312" w:cs="仿宋_GB2312"/>
          <w:sz w:val="32"/>
          <w:szCs w:val="32"/>
          <w:lang w:val="en-US" w:eastAsia="zh-CN"/>
        </w:rPr>
        <w:t>外办</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25.1</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10</w:t>
      </w:r>
      <w:r>
        <w:rPr>
          <w:rFonts w:hint="eastAsia" w:ascii="仿宋_GB2312" w:hAnsi="宋体" w:eastAsia="仿宋_GB2312" w:cs="仿宋_GB2312"/>
          <w:sz w:val="32"/>
          <w:szCs w:val="32"/>
        </w:rPr>
        <w:t>万元，比上年减</w:t>
      </w:r>
      <w:r>
        <w:rPr>
          <w:rFonts w:hint="eastAsia" w:ascii="仿宋_GB2312" w:hAnsi="宋体" w:eastAsia="仿宋_GB2312" w:cs="仿宋_GB2312"/>
          <w:sz w:val="32"/>
          <w:szCs w:val="32"/>
          <w:lang w:val="en-US" w:eastAsia="zh-CN"/>
        </w:rPr>
        <w:t>少3.92</w:t>
      </w:r>
      <w:r>
        <w:rPr>
          <w:rFonts w:hint="eastAsia" w:ascii="仿宋_GB2312" w:hAnsi="宋体" w:eastAsia="仿宋_GB2312" w:cs="仿宋_GB2312"/>
          <w:sz w:val="32"/>
          <w:szCs w:val="32"/>
        </w:rPr>
        <w:t>万元，</w:t>
      </w:r>
      <w:r>
        <w:rPr>
          <w:rFonts w:hint="eastAsia" w:ascii="仿宋_GB2312" w:hAnsi="宋体" w:eastAsia="仿宋_GB2312" w:cs="仿宋_GB2312"/>
          <w:b w:val="0"/>
          <w:bCs w:val="0"/>
          <w:sz w:val="32"/>
          <w:szCs w:val="32"/>
        </w:rPr>
        <w:t>主要原因：</w:t>
      </w:r>
      <w:r>
        <w:rPr>
          <w:rFonts w:hint="eastAsia" w:ascii="仿宋_GB2312" w:hAnsi="宋体" w:eastAsia="仿宋_GB2312" w:cs="仿宋_GB2312"/>
          <w:b w:val="0"/>
          <w:bCs w:val="0"/>
          <w:sz w:val="32"/>
          <w:szCs w:val="32"/>
          <w:lang w:val="en-US" w:eastAsia="zh-CN"/>
        </w:rPr>
        <w:t>出访任务减少</w:t>
      </w:r>
      <w:r>
        <w:rPr>
          <w:rFonts w:hint="eastAsia" w:ascii="仿宋_GB2312" w:hAnsi="宋体" w:eastAsia="仿宋_GB2312" w:cs="仿宋_GB2312"/>
          <w:b w:val="0"/>
          <w:bCs w:val="0"/>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b/>
          <w:bCs/>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15.1</w:t>
      </w:r>
      <w:r>
        <w:rPr>
          <w:rFonts w:hint="eastAsia" w:ascii="仿宋_GB2312" w:hAnsi="宋体" w:eastAsia="仿宋_GB2312" w:cs="仿宋_GB2312"/>
          <w:sz w:val="32"/>
          <w:szCs w:val="32"/>
        </w:rPr>
        <w:t>万元，比上年减</w:t>
      </w:r>
      <w:r>
        <w:rPr>
          <w:rFonts w:hint="eastAsia" w:ascii="仿宋_GB2312" w:hAnsi="宋体" w:eastAsia="仿宋_GB2312" w:cs="仿宋_GB2312"/>
          <w:sz w:val="32"/>
          <w:szCs w:val="32"/>
          <w:lang w:val="en-US" w:eastAsia="zh-CN"/>
        </w:rPr>
        <w:t>少4.9</w:t>
      </w:r>
      <w:r>
        <w:rPr>
          <w:rFonts w:hint="eastAsia" w:ascii="仿宋_GB2312" w:hAnsi="宋体" w:eastAsia="仿宋_GB2312" w:cs="仿宋_GB2312"/>
          <w:sz w:val="32"/>
          <w:szCs w:val="32"/>
        </w:rPr>
        <w:t>万元，</w:t>
      </w:r>
      <w:r>
        <w:rPr>
          <w:rFonts w:hint="eastAsia" w:ascii="仿宋_GB2312" w:hAnsi="宋体" w:eastAsia="仿宋_GB2312" w:cs="仿宋_GB2312"/>
          <w:b w:val="0"/>
          <w:bCs w:val="0"/>
          <w:sz w:val="32"/>
          <w:szCs w:val="32"/>
        </w:rPr>
        <w:t>主要原因：</w:t>
      </w:r>
      <w:r>
        <w:rPr>
          <w:rFonts w:hint="eastAsia" w:ascii="仿宋_GB2312" w:eastAsia="仿宋_GB2312" w:cs="仿宋_GB2312"/>
          <w:b w:val="0"/>
          <w:bCs w:val="0"/>
          <w:sz w:val="32"/>
          <w:szCs w:val="32"/>
          <w:lang w:val="en-US" w:eastAsia="zh-CN"/>
        </w:rPr>
        <w:t>根据上年决算数，本着厉行节约原则做相应减少</w:t>
      </w:r>
      <w:r>
        <w:rPr>
          <w:rFonts w:hint="eastAsia" w:ascii="仿宋_GB2312" w:hAnsi="宋体" w:eastAsia="仿宋_GB2312" w:cs="仿宋_GB2312"/>
          <w:b w:val="0"/>
          <w:bCs w:val="0"/>
          <w:sz w:val="32"/>
          <w:szCs w:val="32"/>
        </w:rPr>
        <w:t>。</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宋体" w:eastAsia="仿宋_GB2312" w:cs="仿宋_GB2312"/>
          <w:b/>
          <w:bCs/>
          <w:sz w:val="32"/>
          <w:szCs w:val="32"/>
        </w:rPr>
      </w:pPr>
    </w:p>
    <w:p>
      <w:pPr>
        <w:jc w:val="center"/>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外办2020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（详见附表）</w:t>
      </w:r>
    </w:p>
    <w:p>
      <w:pPr>
        <w:rPr>
          <w:rFonts w:hint="eastAsia" w:ascii="仿宋_GB2312" w:hAnsi="宋体" w:eastAsia="仿宋_GB2312" w:cs="仿宋_GB2312"/>
          <w:sz w:val="32"/>
          <w:szCs w:val="32"/>
          <w:shd w:val="clear" w:color="FFFFFF" w:fill="D9D9D9"/>
        </w:rPr>
      </w:pPr>
    </w:p>
    <w:p>
      <w:pPr>
        <w:jc w:val="center"/>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黑体" w:hAnsi="黑体" w:eastAsia="黑体" w:cs="黑体"/>
          <w:b w:val="0"/>
          <w:bCs w:val="0"/>
          <w:color w:val="000000"/>
          <w:sz w:val="32"/>
          <w:szCs w:val="30"/>
        </w:rPr>
      </w:pPr>
      <w:r>
        <w:rPr>
          <w:rFonts w:hint="eastAsia" w:ascii="黑体" w:hAnsi="黑体" w:eastAsia="黑体" w:cs="黑体"/>
          <w:b w:val="0"/>
          <w:bCs w:val="0"/>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各部门结合实际进行解释。</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（二）上年结转和结余：填列2019年全部结转和结余的资金数，包括当年结转结余资金和历年滚存结转结余资金。</w:t>
      </w:r>
    </w:p>
    <w:p>
      <w:pPr>
        <w:widowControl/>
        <w:spacing w:line="600" w:lineRule="exact"/>
        <w:ind w:firstLine="640"/>
        <w:jc w:val="left"/>
        <w:rPr>
          <w:rFonts w:hint="eastAsia" w:ascii="黑体" w:hAnsi="黑体" w:eastAsia="黑体" w:cs="黑体"/>
          <w:b w:val="0"/>
          <w:bCs w:val="0"/>
          <w:color w:val="000000"/>
          <w:sz w:val="32"/>
          <w:szCs w:val="30"/>
        </w:rPr>
      </w:pPr>
      <w:r>
        <w:rPr>
          <w:rFonts w:hint="eastAsia" w:ascii="黑体" w:hAnsi="黑体" w:eastAsia="黑体" w:cs="黑体"/>
          <w:b w:val="0"/>
          <w:bCs w:val="0"/>
          <w:color w:val="000000"/>
          <w:sz w:val="32"/>
          <w:szCs w:val="30"/>
        </w:rPr>
        <w:t>二、支出科目</w:t>
      </w:r>
    </w:p>
    <w:p>
      <w:pPr>
        <w:keepNext w:val="0"/>
        <w:keepLines w:val="0"/>
        <w:pageBreakBefore w:val="0"/>
        <w:widowControl w:val="0"/>
        <w:kinsoku/>
        <w:wordWrap/>
        <w:overflowPunct/>
        <w:topLinePunct w:val="0"/>
        <w:autoSpaceDE/>
        <w:autoSpaceDN/>
        <w:bidi w:val="0"/>
        <w:adjustRightInd/>
        <w:snapToGrid/>
        <w:spacing w:line="580" w:lineRule="exact"/>
        <w:ind w:firstLine="562"/>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b/>
          <w:bCs/>
          <w:color w:val="auto"/>
          <w:sz w:val="32"/>
          <w:szCs w:val="32"/>
          <w:lang w:eastAsia="zh-CN"/>
        </w:rPr>
        <w:t>（一）</w:t>
      </w:r>
      <w:r>
        <w:rPr>
          <w:rFonts w:hint="eastAsia" w:ascii="仿宋_GB2312" w:hAnsi="宋体" w:eastAsia="仿宋_GB2312" w:cs="仿宋_GB2312"/>
          <w:b/>
          <w:bCs/>
          <w:color w:val="auto"/>
          <w:sz w:val="32"/>
          <w:szCs w:val="32"/>
        </w:rPr>
        <w:t>一般公共服务（类</w:t>
      </w:r>
      <w:r>
        <w:rPr>
          <w:rFonts w:hint="eastAsia" w:ascii="仿宋_GB2312" w:hAnsi="宋体" w:eastAsia="仿宋_GB2312" w:cs="仿宋_GB2312"/>
          <w:b/>
          <w:bCs/>
          <w:color w:val="auto"/>
          <w:sz w:val="32"/>
          <w:szCs w:val="32"/>
          <w:lang w:val="en-US" w:eastAsia="zh-CN"/>
        </w:rPr>
        <w:t>201</w:t>
      </w:r>
      <w:r>
        <w:rPr>
          <w:rFonts w:hint="eastAsia" w:ascii="仿宋_GB2312" w:hAnsi="宋体" w:eastAsia="仿宋_GB2312" w:cs="仿宋_GB2312"/>
          <w:b/>
          <w:bCs/>
          <w:color w:val="auto"/>
          <w:sz w:val="32"/>
          <w:szCs w:val="32"/>
        </w:rPr>
        <w:t>）</w:t>
      </w:r>
      <w:r>
        <w:rPr>
          <w:rFonts w:hint="eastAsia" w:ascii="仿宋_GB2312" w:hAnsi="宋体" w:eastAsia="仿宋_GB2312" w:cs="仿宋_GB2312"/>
          <w:b/>
          <w:bCs/>
          <w:color w:val="auto"/>
          <w:sz w:val="32"/>
          <w:szCs w:val="32"/>
          <w:lang w:eastAsia="zh-CN"/>
        </w:rPr>
        <w:t>港澳台事务（款</w:t>
      </w:r>
      <w:r>
        <w:rPr>
          <w:rFonts w:hint="eastAsia" w:ascii="仿宋_GB2312" w:hAnsi="宋体" w:eastAsia="仿宋_GB2312" w:cs="仿宋_GB2312"/>
          <w:b/>
          <w:bCs/>
          <w:color w:val="auto"/>
          <w:sz w:val="32"/>
          <w:szCs w:val="32"/>
          <w:lang w:val="en-US" w:eastAsia="zh-CN"/>
        </w:rPr>
        <w:t>20125）：</w:t>
      </w:r>
      <w:r>
        <w:rPr>
          <w:rFonts w:hint="eastAsia" w:ascii="仿宋_GB2312" w:hAnsi="宋体" w:eastAsia="仿宋_GB2312" w:cs="仿宋_GB2312"/>
          <w:color w:val="auto"/>
          <w:sz w:val="32"/>
          <w:szCs w:val="32"/>
          <w:lang w:val="en-US" w:eastAsia="zh-CN"/>
        </w:rPr>
        <w:t>反映用于港澳台事务方面的支出。</w:t>
      </w:r>
    </w:p>
    <w:p>
      <w:pPr>
        <w:keepNext w:val="0"/>
        <w:keepLines w:val="0"/>
        <w:pageBreakBefore w:val="0"/>
        <w:widowControl w:val="0"/>
        <w:kinsoku/>
        <w:wordWrap/>
        <w:overflowPunct/>
        <w:topLinePunct w:val="0"/>
        <w:autoSpaceDE/>
        <w:autoSpaceDN/>
        <w:bidi w:val="0"/>
        <w:adjustRightInd/>
        <w:snapToGrid/>
        <w:spacing w:line="580" w:lineRule="exact"/>
        <w:ind w:firstLine="562"/>
        <w:textAlignment w:val="auto"/>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rPr>
        <w:t>行政运行（项</w:t>
      </w:r>
      <w:r>
        <w:rPr>
          <w:rFonts w:hint="eastAsia" w:ascii="仿宋_GB2312" w:hAnsi="宋体" w:eastAsia="仿宋_GB2312" w:cs="仿宋_GB2312"/>
          <w:color w:val="auto"/>
          <w:sz w:val="32"/>
          <w:szCs w:val="32"/>
          <w:lang w:val="en-US" w:eastAsia="zh-CN"/>
        </w:rPr>
        <w:t>2012501</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eastAsia="zh-CN"/>
        </w:rPr>
        <w:t>反映行政单位（包括实行公务员事业单位）的基本支出。</w:t>
      </w:r>
    </w:p>
    <w:p>
      <w:pPr>
        <w:keepNext w:val="0"/>
        <w:keepLines w:val="0"/>
        <w:pageBreakBefore w:val="0"/>
        <w:widowControl w:val="0"/>
        <w:kinsoku/>
        <w:wordWrap/>
        <w:overflowPunct/>
        <w:topLinePunct w:val="0"/>
        <w:autoSpaceDE/>
        <w:autoSpaceDN/>
        <w:bidi w:val="0"/>
        <w:adjustRightInd/>
        <w:snapToGrid/>
        <w:spacing w:line="580" w:lineRule="exact"/>
        <w:ind w:firstLine="562"/>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eastAsia="zh-CN"/>
        </w:rPr>
        <w:t>一般行政管理事务（项</w:t>
      </w:r>
      <w:r>
        <w:rPr>
          <w:rFonts w:hint="eastAsia" w:ascii="仿宋_GB2312" w:hAnsi="宋体" w:eastAsia="仿宋_GB2312" w:cs="仿宋_GB2312"/>
          <w:color w:val="auto"/>
          <w:sz w:val="32"/>
          <w:szCs w:val="32"/>
          <w:lang w:val="en-US" w:eastAsia="zh-CN"/>
        </w:rPr>
        <w:t>2012502）：反映行政单位（包括实行公务员事业单位）未单独设置项级科目的其他项目支出。</w:t>
      </w:r>
    </w:p>
    <w:p>
      <w:pPr>
        <w:keepNext w:val="0"/>
        <w:keepLines w:val="0"/>
        <w:pageBreakBefore w:val="0"/>
        <w:widowControl w:val="0"/>
        <w:kinsoku/>
        <w:wordWrap/>
        <w:overflowPunct/>
        <w:topLinePunct w:val="0"/>
        <w:autoSpaceDE/>
        <w:autoSpaceDN/>
        <w:bidi w:val="0"/>
        <w:adjustRightInd/>
        <w:snapToGrid/>
        <w:spacing w:line="580" w:lineRule="exact"/>
        <w:ind w:firstLine="562"/>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事业运行（项2012550）：反映事业单位的基本支出，不包括行政单位（包括实行公务员事业单位）后勤服务中心、医务室等附属事业单位。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eastAsia" w:ascii="仿宋_GB2312" w:eastAsia="仿宋_GB2312" w:cs="Times New Roman"/>
          <w:color w:val="auto"/>
          <w:sz w:val="32"/>
          <w:szCs w:val="32"/>
          <w:lang w:val="en-US" w:eastAsia="zh-CN"/>
        </w:rPr>
      </w:pPr>
      <w:r>
        <w:rPr>
          <w:rFonts w:hint="eastAsia" w:ascii="仿宋_GB2312" w:eastAsia="仿宋_GB2312" w:cs="Times New Roman"/>
          <w:b/>
          <w:bCs/>
          <w:color w:val="auto"/>
          <w:sz w:val="32"/>
          <w:szCs w:val="32"/>
          <w:lang w:eastAsia="zh-CN"/>
        </w:rPr>
        <w:t>（二）社会保障和就业支出（类</w:t>
      </w:r>
      <w:r>
        <w:rPr>
          <w:rFonts w:hint="eastAsia" w:ascii="仿宋_GB2312" w:eastAsia="仿宋_GB2312" w:cs="Times New Roman"/>
          <w:b/>
          <w:bCs/>
          <w:color w:val="auto"/>
          <w:sz w:val="32"/>
          <w:szCs w:val="32"/>
          <w:lang w:val="en-US" w:eastAsia="zh-CN"/>
        </w:rPr>
        <w:t>208）行政事业单位医疗（款20805）:</w:t>
      </w:r>
      <w:r>
        <w:rPr>
          <w:rFonts w:hint="eastAsia" w:ascii="仿宋_GB2312" w:eastAsia="仿宋_GB2312" w:cs="Times New Roman"/>
          <w:color w:val="auto"/>
          <w:sz w:val="32"/>
          <w:szCs w:val="32"/>
          <w:lang w:val="en-US" w:eastAsia="zh-CN"/>
        </w:rPr>
        <w:t>反映用于行政事业单位离退休方面的支出。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行政单位离退休（项2080501）：反映行政单位（包括实行公务员管理的事业单位）开支的离退休经费。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eastAsia="zh-CN"/>
        </w:rPr>
        <w:t>机关事业单位基本养老保险缴费支出（项</w:t>
      </w:r>
      <w:r>
        <w:rPr>
          <w:rFonts w:hint="eastAsia" w:ascii="仿宋_GB2312" w:eastAsia="仿宋_GB2312" w:cs="Times New Roman"/>
          <w:color w:val="auto"/>
          <w:sz w:val="32"/>
          <w:szCs w:val="32"/>
          <w:lang w:val="en-US" w:eastAsia="zh-CN"/>
        </w:rPr>
        <w:t>2080505）：反映机关事业单位实施养老保险制度由单位缴纳的基本养老保险费支出。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eastAsia="仿宋_GB2312" w:cs="Times New Roman"/>
          <w:color w:val="auto"/>
          <w:sz w:val="32"/>
          <w:szCs w:val="32"/>
          <w:lang w:val="en-US" w:eastAsia="zh-CN"/>
        </w:rPr>
      </w:pPr>
      <w:r>
        <w:rPr>
          <w:rFonts w:hint="eastAsia" w:ascii="仿宋_GB2312" w:eastAsia="仿宋_GB2312" w:cs="Times New Roman"/>
          <w:b/>
          <w:bCs/>
          <w:color w:val="auto"/>
          <w:sz w:val="32"/>
          <w:szCs w:val="32"/>
          <w:lang w:val="en-US" w:eastAsia="zh-CN"/>
        </w:rPr>
        <w:t>（三）卫生健康支出（类210）行政事业单位医疗（款21011）：</w:t>
      </w:r>
      <w:r>
        <w:rPr>
          <w:rFonts w:hint="eastAsia" w:ascii="仿宋_GB2312" w:eastAsia="仿宋_GB2312" w:cs="Times New Roman"/>
          <w:color w:val="auto"/>
          <w:sz w:val="32"/>
          <w:szCs w:val="32"/>
          <w:lang w:val="en-US" w:eastAsia="zh-CN"/>
        </w:rPr>
        <w:t>反映行政事业单位医疗方面的支出。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行政单位医疗（项2101101）：反映财政部门安排的行政单位（包括实行公务员管理的事业单位）基本医疗保险缴费经费，未参加医疗保险的行政单位的公费医疗经费，按国家规定享受离休人员、红军老战士待遇人员的医疗经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事业单位医疗（项2101102）：反映财政部门安排的事业单位基本医疗保险缴费经费，未参加医疗保险的事业单位的公费医疗经费，按国家规定享受离休人员待遇的医疗经费。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公务员医疗补助（项2101103）：反映财政单位安排的公务员医疗补助经费。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其他行政事业单位医疗支出（项2101199）：反映除上述项目以外的其他用于行政事业单位医疗方面的支出。</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eastAsia="仿宋_GB2312" w:cs="Times New Roman"/>
          <w:color w:val="auto"/>
          <w:sz w:val="32"/>
          <w:szCs w:val="32"/>
          <w:lang w:val="en-US" w:eastAsia="zh-CN"/>
        </w:rPr>
      </w:pPr>
      <w:r>
        <w:rPr>
          <w:rFonts w:hint="eastAsia" w:ascii="仿宋_GB2312" w:eastAsia="仿宋_GB2312" w:cs="Times New Roman"/>
          <w:b/>
          <w:bCs/>
          <w:color w:val="auto"/>
          <w:sz w:val="32"/>
          <w:szCs w:val="32"/>
          <w:lang w:val="en-US" w:eastAsia="zh-CN"/>
        </w:rPr>
        <w:t>（四）</w:t>
      </w:r>
      <w:r>
        <w:rPr>
          <w:rFonts w:hint="eastAsia" w:ascii="仿宋_GB2312" w:eastAsia="仿宋_GB2312" w:cs="Times New Roman"/>
          <w:b/>
          <w:bCs/>
          <w:color w:val="auto"/>
          <w:sz w:val="32"/>
          <w:szCs w:val="32"/>
          <w:lang w:eastAsia="zh-CN"/>
        </w:rPr>
        <w:t>住房保障支出（类</w:t>
      </w:r>
      <w:r>
        <w:rPr>
          <w:rFonts w:hint="eastAsia" w:ascii="仿宋_GB2312" w:eastAsia="仿宋_GB2312" w:cs="Times New Roman"/>
          <w:b/>
          <w:bCs/>
          <w:color w:val="auto"/>
          <w:sz w:val="32"/>
          <w:szCs w:val="32"/>
          <w:lang w:val="en-US" w:eastAsia="zh-CN"/>
        </w:rPr>
        <w:t>221）住房改革支出（款22102）：</w:t>
      </w:r>
      <w:r>
        <w:rPr>
          <w:rFonts w:hint="eastAsia" w:ascii="仿宋_GB2312" w:eastAsia="仿宋_GB2312" w:cs="Times New Roman"/>
          <w:color w:val="auto"/>
          <w:sz w:val="32"/>
          <w:szCs w:val="32"/>
          <w:lang w:val="en-US" w:eastAsia="zh-CN"/>
        </w:rPr>
        <w:t>反映行政事业单位用财政拨款资金和其他资金等安排的住房改革支出。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color w:val="auto"/>
          <w:sz w:val="32"/>
          <w:szCs w:val="32"/>
          <w:lang w:eastAsia="zh-CN"/>
        </w:rPr>
      </w:pPr>
      <w:r>
        <w:rPr>
          <w:rFonts w:hint="eastAsia" w:ascii="仿宋_GB2312" w:eastAsia="仿宋_GB2312" w:cs="Times New Roman"/>
          <w:color w:val="auto"/>
          <w:sz w:val="32"/>
          <w:szCs w:val="32"/>
          <w:lang w:eastAsia="zh-CN"/>
        </w:rPr>
        <w:t>住房公积金（项</w:t>
      </w:r>
      <w:r>
        <w:rPr>
          <w:rFonts w:hint="eastAsia" w:ascii="仿宋_GB2312" w:eastAsia="仿宋_GB2312" w:cs="Times New Roman"/>
          <w:color w:val="auto"/>
          <w:sz w:val="32"/>
          <w:szCs w:val="32"/>
          <w:lang w:val="en-US" w:eastAsia="zh-CN"/>
        </w:rPr>
        <w:t>2210201）</w:t>
      </w:r>
      <w:r>
        <w:rPr>
          <w:rFonts w:hint="eastAsia" w:ascii="仿宋_GB2312" w:eastAsia="仿宋_GB2312" w:cs="Times New Roman"/>
          <w:color w:val="auto"/>
          <w:sz w:val="32"/>
          <w:szCs w:val="32"/>
          <w:lang w:eastAsia="zh-CN"/>
        </w:rPr>
        <w:t>:反映行政事业单位按人力资源和社会保障部、财政部规定的基本工资和津贴补贴以及规定比例为职工缴纳的住房公积金。</w:t>
      </w:r>
    </w:p>
    <w:p>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Fonts w:cs="Times New Roman"/>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5"/>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8EE0B31"/>
    <w:rsid w:val="0A326819"/>
    <w:rsid w:val="0CBF216E"/>
    <w:rsid w:val="0DD54F48"/>
    <w:rsid w:val="0FCB58D0"/>
    <w:rsid w:val="11427CB1"/>
    <w:rsid w:val="139E3D52"/>
    <w:rsid w:val="162B4B72"/>
    <w:rsid w:val="18AC060B"/>
    <w:rsid w:val="19076E1D"/>
    <w:rsid w:val="1B7F04D5"/>
    <w:rsid w:val="1EBD751D"/>
    <w:rsid w:val="1F117155"/>
    <w:rsid w:val="204B45CE"/>
    <w:rsid w:val="25705B71"/>
    <w:rsid w:val="2D4F2EA5"/>
    <w:rsid w:val="2DBB222D"/>
    <w:rsid w:val="2EA1581F"/>
    <w:rsid w:val="31D40AAE"/>
    <w:rsid w:val="3BD871B8"/>
    <w:rsid w:val="3CF55A87"/>
    <w:rsid w:val="429A727D"/>
    <w:rsid w:val="449017C3"/>
    <w:rsid w:val="4C0B7195"/>
    <w:rsid w:val="4D3B293C"/>
    <w:rsid w:val="51B40312"/>
    <w:rsid w:val="55954DFF"/>
    <w:rsid w:val="57CC144D"/>
    <w:rsid w:val="61F32950"/>
    <w:rsid w:val="621D00A1"/>
    <w:rsid w:val="62B20F12"/>
    <w:rsid w:val="641E7445"/>
    <w:rsid w:val="71452C49"/>
    <w:rsid w:val="73224148"/>
    <w:rsid w:val="776E35B0"/>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qFormat="1"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21"/>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0"/>
      <w:szCs w:val="30"/>
      <w:lang w:val="zh-CN" w:eastAsia="zh-CN" w:bidi="zh-CN"/>
    </w:rPr>
  </w:style>
  <w:style w:type="paragraph" w:styleId="5">
    <w:name w:val="footer"/>
    <w:basedOn w:val="1"/>
    <w:link w:val="22"/>
    <w:qFormat/>
    <w:uiPriority w:val="99"/>
    <w:pPr>
      <w:tabs>
        <w:tab w:val="center" w:pos="4153"/>
        <w:tab w:val="right" w:pos="8306"/>
      </w:tabs>
      <w:snapToGrid w:val="0"/>
      <w:jc w:val="left"/>
    </w:pPr>
    <w:rPr>
      <w:sz w:val="18"/>
      <w:szCs w:val="18"/>
    </w:rPr>
  </w:style>
  <w:style w:type="character" w:styleId="8">
    <w:name w:val="Strong"/>
    <w:basedOn w:val="7"/>
    <w:qFormat/>
    <w:locked/>
    <w:uiPriority w:val="0"/>
  </w:style>
  <w:style w:type="character" w:styleId="9">
    <w:name w:val="page number"/>
    <w:basedOn w:val="7"/>
    <w:qFormat/>
    <w:uiPriority w:val="99"/>
  </w:style>
  <w:style w:type="character" w:styleId="10">
    <w:name w:val="FollowedHyperlink"/>
    <w:basedOn w:val="7"/>
    <w:semiHidden/>
    <w:unhideWhenUsed/>
    <w:qFormat/>
    <w:uiPriority w:val="99"/>
    <w:rPr>
      <w:color w:val="800080"/>
      <w:u w:val="none"/>
    </w:rPr>
  </w:style>
  <w:style w:type="character" w:styleId="11">
    <w:name w:val="Emphasis"/>
    <w:basedOn w:val="7"/>
    <w:qFormat/>
    <w:locked/>
    <w:uiPriority w:val="0"/>
  </w:style>
  <w:style w:type="character" w:styleId="12">
    <w:name w:val="HTML Definition"/>
    <w:basedOn w:val="7"/>
    <w:semiHidden/>
    <w:unhideWhenUsed/>
    <w:uiPriority w:val="99"/>
  </w:style>
  <w:style w:type="character" w:styleId="13">
    <w:name w:val="HTML Typewriter"/>
    <w:basedOn w:val="7"/>
    <w:semiHidden/>
    <w:unhideWhenUsed/>
    <w:qFormat/>
    <w:uiPriority w:val="99"/>
    <w:rPr>
      <w:rFonts w:hint="default" w:ascii="monospace" w:hAnsi="monospace" w:eastAsia="monospace" w:cs="monospace"/>
      <w:sz w:val="20"/>
    </w:rPr>
  </w:style>
  <w:style w:type="character" w:styleId="14">
    <w:name w:val="HTML Acronym"/>
    <w:basedOn w:val="7"/>
    <w:semiHidden/>
    <w:unhideWhenUsed/>
    <w:qFormat/>
    <w:uiPriority w:val="99"/>
  </w:style>
  <w:style w:type="character" w:styleId="15">
    <w:name w:val="HTML Variable"/>
    <w:basedOn w:val="7"/>
    <w:semiHidden/>
    <w:unhideWhenUsed/>
    <w:uiPriority w:val="99"/>
  </w:style>
  <w:style w:type="character" w:styleId="16">
    <w:name w:val="Hyperlink"/>
    <w:basedOn w:val="7"/>
    <w:semiHidden/>
    <w:unhideWhenUsed/>
    <w:qFormat/>
    <w:uiPriority w:val="99"/>
    <w:rPr>
      <w:color w:val="0000FF"/>
      <w:u w:val="none"/>
    </w:rPr>
  </w:style>
  <w:style w:type="character" w:styleId="17">
    <w:name w:val="HTML Code"/>
    <w:basedOn w:val="7"/>
    <w:semiHidden/>
    <w:unhideWhenUsed/>
    <w:qFormat/>
    <w:uiPriority w:val="99"/>
    <w:rPr>
      <w:rFonts w:ascii="monospace" w:hAnsi="monospace" w:eastAsia="monospace" w:cs="monospace"/>
      <w:sz w:val="20"/>
    </w:rPr>
  </w:style>
  <w:style w:type="character" w:styleId="18">
    <w:name w:val="HTML Cite"/>
    <w:basedOn w:val="7"/>
    <w:semiHidden/>
    <w:unhideWhenUsed/>
    <w:qFormat/>
    <w:uiPriority w:val="99"/>
  </w:style>
  <w:style w:type="character" w:styleId="19">
    <w:name w:val="HTML Keyboard"/>
    <w:basedOn w:val="7"/>
    <w:semiHidden/>
    <w:unhideWhenUsed/>
    <w:qFormat/>
    <w:uiPriority w:val="99"/>
    <w:rPr>
      <w:rFonts w:hint="default" w:ascii="monospace" w:hAnsi="monospace" w:eastAsia="monospace" w:cs="monospace"/>
      <w:sz w:val="20"/>
    </w:rPr>
  </w:style>
  <w:style w:type="character" w:styleId="20">
    <w:name w:val="HTML Sample"/>
    <w:basedOn w:val="7"/>
    <w:semiHidden/>
    <w:unhideWhenUsed/>
    <w:qFormat/>
    <w:uiPriority w:val="99"/>
    <w:rPr>
      <w:rFonts w:hint="default" w:ascii="monospace" w:hAnsi="monospace" w:eastAsia="monospace" w:cs="monospace"/>
    </w:rPr>
  </w:style>
  <w:style w:type="character" w:customStyle="1" w:styleId="21">
    <w:name w:val="Heading 2 Char"/>
    <w:basedOn w:val="7"/>
    <w:link w:val="2"/>
    <w:semiHidden/>
    <w:qFormat/>
    <w:uiPriority w:val="9"/>
    <w:rPr>
      <w:rFonts w:asciiTheme="majorHAnsi" w:hAnsiTheme="majorHAnsi" w:eastAsiaTheme="majorEastAsia" w:cstheme="majorBidi"/>
      <w:b/>
      <w:bCs/>
      <w:sz w:val="32"/>
      <w:szCs w:val="32"/>
    </w:rPr>
  </w:style>
  <w:style w:type="character" w:customStyle="1" w:styleId="22">
    <w:name w:val="Footer Char"/>
    <w:basedOn w:val="7"/>
    <w:link w:val="5"/>
    <w:semiHidden/>
    <w:qFormat/>
    <w:uiPriority w:val="99"/>
    <w:rPr>
      <w:rFonts w:cs="Calibri"/>
      <w:sz w:val="18"/>
      <w:szCs w:val="18"/>
    </w:rPr>
  </w:style>
  <w:style w:type="character" w:customStyle="1" w:styleId="23">
    <w:name w:val="jsfyopen"/>
    <w:basedOn w:val="7"/>
    <w:qFormat/>
    <w:uiPriority w:val="0"/>
    <w:rPr>
      <w:shd w:val="clear" w:fill="50BA5F"/>
    </w:rPr>
  </w:style>
  <w:style w:type="character" w:customStyle="1" w:styleId="24">
    <w:name w:val="jsfyfy"/>
    <w:basedOn w:val="7"/>
    <w:qFormat/>
    <w:uiPriority w:val="0"/>
    <w:rPr>
      <w:color w:val="4285F4"/>
      <w:bdr w:val="single" w:color="4285F4" w:sz="6" w:space="0"/>
    </w:rPr>
  </w:style>
  <w:style w:type="character" w:customStyle="1" w:styleId="25">
    <w:name w:val="bsharetext"/>
    <w:basedOn w:val="7"/>
    <w:qFormat/>
    <w:uiPriority w:val="0"/>
  </w:style>
  <w:style w:type="character" w:customStyle="1" w:styleId="26">
    <w:name w:val="hover2"/>
    <w:basedOn w:val="7"/>
    <w:qFormat/>
    <w:uiPriority w:val="0"/>
    <w:rPr>
      <w:color w:val="4285F4"/>
    </w:rPr>
  </w:style>
  <w:style w:type="character" w:customStyle="1" w:styleId="27">
    <w:name w:val="hover3"/>
    <w:basedOn w:val="7"/>
    <w:qFormat/>
    <w:uiPriority w:val="0"/>
    <w:rPr>
      <w:color w:val="4285F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480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幻梦雪儿</cp:lastModifiedBy>
  <dcterms:modified xsi:type="dcterms:W3CDTF">2020-06-08T07:42:59Z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